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ANEXO N.º 1 </w:t>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DECLARACIÓN JURADA SIMPLE DE ACEPTACIÓN DE BASES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Yo, ________________________________________, </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RUT_______________________, en representación de ______________________________________________, declaro conocer y aceptar íntegramente las Bases de Convocatoria del Programa de Fortalecimiento Gastronómico Territorial de la Comuna de Coyhaique 2026. Asimismo, declaro que toda la información proporcionada durante el proceso de postulación es veraz y completa.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Firma:_____________________</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Fecha:_____________________</w:t>
      </w:r>
    </w:p>
    <w:sectPr>
      <w:headerReference r:id="rId6" w:type="default"/>
      <w:pgSz w:h="16838" w:w="11906" w:orient="portrait"/>
      <w:pgMar w:bottom="1440.0000000000002" w:top="1440.0000000000002" w:left="1440.0000000000002" w:right="1371.968503937007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line="276"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-333374</wp:posOffset>
          </wp:positionH>
          <wp:positionV relativeFrom="paragraph">
            <wp:posOffset>-228599</wp:posOffset>
          </wp:positionV>
          <wp:extent cx="890588" cy="685752"/>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90588" cy="68575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5365724</wp:posOffset>
          </wp:positionH>
          <wp:positionV relativeFrom="paragraph">
            <wp:posOffset>-233362</wp:posOffset>
          </wp:positionV>
          <wp:extent cx="787426" cy="72866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87426" cy="7286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